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CD" w:rsidRPr="008706FC" w:rsidRDefault="008706FC">
      <w:pPr>
        <w:jc w:val="center"/>
        <w:rPr>
          <w:rFonts w:ascii="Times New Roman" w:hAnsi="Times New Roman" w:cs="Times New Roman"/>
          <w:b/>
          <w:bCs/>
          <w:caps/>
          <w:szCs w:val="24"/>
          <w:lang w:val="ru-RU"/>
        </w:rPr>
      </w:pPr>
      <w:r w:rsidRPr="008706FC">
        <w:rPr>
          <w:rFonts w:ascii="Times New Roman" w:hAnsi="Times New Roman" w:cs="Times New Roman"/>
          <w:b/>
          <w:bCs/>
          <w:caps/>
          <w:szCs w:val="24"/>
          <w:lang w:val="ru-RU"/>
        </w:rPr>
        <w:t>Пояснительная записка по ИТ</w:t>
      </w:r>
    </w:p>
    <w:p w:rsidR="000162CD" w:rsidRPr="008706FC" w:rsidRDefault="008706FC">
      <w:pPr>
        <w:spacing w:before="283"/>
        <w:ind w:left="283" w:right="283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8706FC">
        <w:rPr>
          <w:rFonts w:ascii="Times New Roman" w:hAnsi="Times New Roman" w:cs="Times New Roman"/>
          <w:b/>
          <w:bCs/>
          <w:szCs w:val="24"/>
          <w:lang w:val="ru-RU"/>
        </w:rPr>
        <w:t>Приобретение межсетевых экранов</w:t>
      </w:r>
    </w:p>
    <w:p w:rsidR="000162CD" w:rsidRPr="008706FC" w:rsidRDefault="008706FC">
      <w:pPr>
        <w:spacing w:before="113"/>
        <w:jc w:val="center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8706FC">
        <w:rPr>
          <w:rFonts w:ascii="Times New Roman" w:hAnsi="Times New Roman" w:cs="Times New Roman"/>
          <w:b/>
          <w:bCs/>
          <w:szCs w:val="24"/>
        </w:rPr>
        <w:t>Код</w:t>
      </w:r>
      <w:proofErr w:type="spellEnd"/>
      <w:r w:rsidRPr="008706FC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b/>
          <w:bCs/>
          <w:szCs w:val="24"/>
        </w:rPr>
        <w:t>проекта</w:t>
      </w:r>
      <w:proofErr w:type="spellEnd"/>
      <w:r w:rsidRPr="008706FC">
        <w:rPr>
          <w:rFonts w:ascii="Times New Roman" w:hAnsi="Times New Roman" w:cs="Times New Roman"/>
          <w:b/>
          <w:bCs/>
          <w:szCs w:val="24"/>
        </w:rPr>
        <w:t xml:space="preserve"> - 15.01.00438</w:t>
      </w:r>
    </w:p>
    <w:p w:rsidR="000162CD" w:rsidRPr="008706FC" w:rsidRDefault="008706FC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6FC">
        <w:rPr>
          <w:rFonts w:ascii="Times New Roman" w:hAnsi="Times New Roman" w:cs="Times New Roman"/>
          <w:sz w:val="24"/>
          <w:szCs w:val="24"/>
        </w:rPr>
        <w:t>ОПИСАНИЕ ИПКВ ИТ</w:t>
      </w:r>
    </w:p>
    <w:p w:rsidR="000162CD" w:rsidRPr="008706FC" w:rsidRDefault="008706FC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t>Объект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вложения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средств</w:t>
      </w:r>
      <w:bookmarkStart w:id="0" w:name="_GoBack"/>
      <w:bookmarkEnd w:id="0"/>
      <w:proofErr w:type="spellEnd"/>
    </w:p>
    <w:p w:rsidR="000162CD" w:rsidRPr="008706FC" w:rsidRDefault="008706FC">
      <w:pPr>
        <w:rPr>
          <w:rFonts w:ascii="Times New Roman" w:hAnsi="Times New Roman" w:cs="Times New Roman"/>
          <w:szCs w:val="24"/>
        </w:rPr>
      </w:pPr>
      <w:r w:rsidRPr="008706FC">
        <w:rPr>
          <w:rFonts w:ascii="Times New Roman" w:hAnsi="Times New Roman" w:cs="Times New Roman"/>
          <w:szCs w:val="24"/>
        </w:rPr>
        <w:t>АО "Петербургская сбытовая компания"</w:t>
      </w:r>
    </w:p>
    <w:p w:rsidR="000162CD" w:rsidRPr="008706FC" w:rsidRDefault="008706FC">
      <w:pPr>
        <w:spacing w:before="283" w:after="283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8706FC">
        <w:rPr>
          <w:rFonts w:ascii="Times New Roman" w:hAnsi="Times New Roman" w:cs="Times New Roman"/>
          <w:b/>
          <w:bCs/>
          <w:szCs w:val="24"/>
        </w:rPr>
        <w:t>Объект</w:t>
      </w:r>
      <w:proofErr w:type="spellEnd"/>
      <w:r w:rsidRPr="008706FC">
        <w:rPr>
          <w:rFonts w:ascii="Times New Roman" w:hAnsi="Times New Roman" w:cs="Times New Roman"/>
          <w:b/>
          <w:bCs/>
          <w:szCs w:val="24"/>
        </w:rPr>
        <w:t xml:space="preserve"> ОС: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АО «Петербургская сбытовая компания». Закупаемое в рамках проекта оборудование будет являться новыми основными средствами.</w:t>
      </w:r>
    </w:p>
    <w:p w:rsidR="000162CD" w:rsidRPr="008706FC" w:rsidRDefault="008706FC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t>Предпосылки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/ </w:t>
      </w:r>
      <w:proofErr w:type="spellStart"/>
      <w:r w:rsidRPr="008706FC">
        <w:rPr>
          <w:rFonts w:ascii="Times New Roman" w:hAnsi="Times New Roman" w:cs="Times New Roman"/>
          <w:szCs w:val="24"/>
        </w:rPr>
        <w:t>необходимость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реализации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 ИТ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В Обществе эксплуатируются информационные системы персональных данных (ИСУСЭ БП, ИКУС,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ЕБСРЮЛ, ИАС, АИИСКУЭ) в том числе включенные в перечень объектов КИИ РФ. Для их защиты необходимо выполнение требований к информационной безопасности, утвержденных Приказом ФСТЭК России от 18.02.2013 №21), обеспечиваемых использованием средств межсетевого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экранирования (МСЭ).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В настоящее время в качестве МСЭ используется оборудование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Fortinet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(США). В 2022 году у данных МСЭ со стороны производителя были отозваны программные лицензии, в силу чего его функционал оказался ограничен, техническая поддержка такж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е не оказывается, сертификат соответствия ФСТЭК прекращен 31 марта 2022 г. Также в эксплуатации остаются МСЭ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Palo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Alto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PA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-5020 (США), на которые техническая поддержка отсутствует, данное оборудование не проходило сертификацию.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Указом Президента Российской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Федерации от 01.05.2022 г. № 250 «О дополнительных мерах по обеспечению информационной безопасности Российской Федерации» установлено, что с 1 января 2025 г. органам (организациям) запрещается использовать средства защиты информации, странами происхождени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я которых являются иностранные государства, совершающие в отношении Российской Федерации, российских юридических лиц и физических лиц недружественные действия, либо производителями которых являются организации, находящиеся под юрисдикцией таких иностранных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государств, прямо или косвенно подконтрольные им либо аффилированные с ними. Кроме того, в соответствии с п.10 Рекомендаций по обеспечению необходимого уровня безопасности в сфере ИКТ компаний Группы «Интер РАО», введенных Приказом ПАО «Интер РАО» от 09.0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6.2022 №ИРАО/232, должен быть установлен запрет на использование иностранных средств защиты информации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Исходя из вышеизложенного, для обеспечения требуемого уровня защищенности корпоративной сети требуется произвести замену всех МСЭ.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В настоящее время не з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авершены работы по тестированию решений межсетевых экранов нового поколения (класса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NGFW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), которые проводятся силами ООО «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Бизкомм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» по запросу ДИБ ПАО «Интер РАО» и с участием лаборатории по импортозамещению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Группы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. 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Поэтому стоимость проекта на данном этапе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формируется на основании ранее выбранного решения (оборудование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Fortinet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), по которому подтверждена возможность дальнейшей эксплуатации, с учетом письма от 13.04.2023 №ИН/КП/ДВ/63.  В дальнейшем планируется пересмотр наполнения проекта, после получения ре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комендаций о выборе МСЭ.</w:t>
      </w:r>
    </w:p>
    <w:p w:rsidR="000162CD" w:rsidRPr="008706FC" w:rsidRDefault="000162CD">
      <w:pPr>
        <w:rPr>
          <w:rFonts w:ascii="Times New Roman" w:hAnsi="Times New Roman" w:cs="Times New Roman"/>
          <w:color w:val="333333"/>
          <w:szCs w:val="24"/>
          <w:lang w:val="ru-RU"/>
        </w:rPr>
      </w:pPr>
    </w:p>
    <w:p w:rsidR="000162CD" w:rsidRPr="008706FC" w:rsidRDefault="008706FC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lastRenderedPageBreak/>
        <w:t>Цель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 ИТ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 xml:space="preserve">Обеспечение должного уровня защиты информационных систем АО «Петербургская сбытовая компания» от внешних угроз и предотвращения вторжений. </w:t>
      </w:r>
    </w:p>
    <w:p w:rsidR="000162CD" w:rsidRPr="008706FC" w:rsidRDefault="008706FC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t>Технические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решения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 ИТ</w:t>
      </w:r>
    </w:p>
    <w:p w:rsidR="000162CD" w:rsidRPr="008706FC" w:rsidRDefault="008706FC" w:rsidP="008706FC">
      <w:pPr>
        <w:jc w:val="both"/>
        <w:rPr>
          <w:rFonts w:ascii="Times New Roman" w:hAnsi="Times New Roman" w:cs="Times New Roman"/>
          <w:szCs w:val="24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В инфраструктуре Общества имеются три точки конце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нтрации трафика, а именно: ядро сети в центральном офисе, ядро сети в центре обработки данных ДЦ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Linx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и точка выхода в Интернет. В целях обеспечения отказоустойчивости во всех точках устанавливается по два устройства, объединенных в кластер, т.е. общее кол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ичество устройств - 6 шт.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Исходя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из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этого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планируются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к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приобретению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следующие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proofErr w:type="spellStart"/>
      <w:r w:rsidRPr="008706FC">
        <w:rPr>
          <w:rFonts w:ascii="Times New Roman" w:eastAsia="Times New Roman" w:hAnsi="Times New Roman" w:cs="Times New Roman"/>
          <w:color w:val="333333"/>
          <w:szCs w:val="24"/>
        </w:rPr>
        <w:t>позиции</w:t>
      </w:r>
      <w:proofErr w:type="spellEnd"/>
      <w:r w:rsidRPr="008706FC">
        <w:rPr>
          <w:rFonts w:ascii="Times New Roman" w:eastAsia="Times New Roman" w:hAnsi="Times New Roman" w:cs="Times New Roman"/>
          <w:color w:val="333333"/>
          <w:szCs w:val="24"/>
        </w:rPr>
        <w:t>:</w:t>
      </w:r>
    </w:p>
    <w:p w:rsidR="000162CD" w:rsidRPr="008706FC" w:rsidRDefault="000162CD" w:rsidP="008706FC">
      <w:pPr>
        <w:jc w:val="both"/>
        <w:rPr>
          <w:rFonts w:ascii="Times New Roman" w:hAnsi="Times New Roman" w:cs="Times New Roman"/>
          <w:color w:val="333333"/>
          <w:szCs w:val="24"/>
        </w:rPr>
      </w:pPr>
    </w:p>
    <w:p w:rsidR="000162CD" w:rsidRPr="008706FC" w:rsidRDefault="008706FC">
      <w:pPr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№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>Наименование оборудования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>Кол-во</w:t>
      </w:r>
    </w:p>
    <w:p w:rsidR="000162CD" w:rsidRPr="008706FC" w:rsidRDefault="008706FC">
      <w:pPr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1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 xml:space="preserve">Межсетевой 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 xml:space="preserve">экран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FG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-1100Е+на6ор подписок АТ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P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+ТП+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RMA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сроком на 1 год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>2</w:t>
      </w:r>
    </w:p>
    <w:p w:rsidR="000162CD" w:rsidRPr="008706FC" w:rsidRDefault="008706FC">
      <w:pPr>
        <w:rPr>
          <w:rFonts w:ascii="Times New Roman" w:hAnsi="Times New Roman" w:cs="Times New Roman"/>
          <w:color w:val="333333"/>
          <w:szCs w:val="24"/>
          <w:lang w:val="ru-RU"/>
        </w:rPr>
      </w:pP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2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 xml:space="preserve">Межсетевой экран 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FG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-1800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F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+на6ор подписок АТ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P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+ТП+</w:t>
      </w:r>
      <w:r w:rsidRPr="008706FC">
        <w:rPr>
          <w:rFonts w:ascii="Times New Roman" w:eastAsia="Times New Roman" w:hAnsi="Times New Roman" w:cs="Times New Roman"/>
          <w:color w:val="333333"/>
          <w:szCs w:val="24"/>
        </w:rPr>
        <w:t>RMA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 xml:space="preserve"> сроко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>м на 1 год</w:t>
      </w:r>
      <w:r w:rsidRPr="008706FC">
        <w:rPr>
          <w:rFonts w:ascii="Times New Roman" w:eastAsia="Times New Roman" w:hAnsi="Times New Roman" w:cs="Times New Roman"/>
          <w:color w:val="333333"/>
          <w:szCs w:val="24"/>
          <w:lang w:val="ru-RU"/>
        </w:rPr>
        <w:tab/>
        <w:t>4</w:t>
      </w:r>
    </w:p>
    <w:p w:rsidR="000162CD" w:rsidRPr="008706FC" w:rsidRDefault="000162CD">
      <w:pPr>
        <w:rPr>
          <w:rFonts w:ascii="Times New Roman" w:hAnsi="Times New Roman" w:cs="Times New Roman"/>
          <w:color w:val="333333"/>
          <w:szCs w:val="24"/>
          <w:lang w:val="ru-RU"/>
        </w:rPr>
      </w:pPr>
    </w:p>
    <w:p w:rsidR="000162CD" w:rsidRPr="008706FC" w:rsidRDefault="008706FC">
      <w:pPr>
        <w:pStyle w:val="2"/>
        <w:numPr>
          <w:ilvl w:val="1"/>
          <w:numId w:val="1"/>
        </w:numPr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t>Дополнительная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информация</w:t>
      </w:r>
      <w:proofErr w:type="spellEnd"/>
    </w:p>
    <w:p w:rsidR="000162CD" w:rsidRPr="008706FC" w:rsidRDefault="008706FC">
      <w:pPr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Данный ИПКВ не включён в стратегические документы компании, и не связан с другими проектами.</w:t>
      </w:r>
    </w:p>
    <w:p w:rsidR="000162CD" w:rsidRPr="008706FC" w:rsidRDefault="008706FC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6FC">
        <w:rPr>
          <w:rFonts w:ascii="Times New Roman" w:hAnsi="Times New Roman" w:cs="Times New Roman"/>
          <w:sz w:val="24"/>
          <w:szCs w:val="24"/>
        </w:rPr>
        <w:t>ОБЪЕМ, СРОКИ И ЗАТРАТЫ ИПКВ</w:t>
      </w:r>
    </w:p>
    <w:p w:rsidR="000162CD" w:rsidRPr="008706FC" w:rsidRDefault="008706FC">
      <w:pPr>
        <w:pStyle w:val="Normalparagraph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Начало выполнения работ - 4 квартал 2025 г.</w:t>
      </w:r>
    </w:p>
    <w:p w:rsidR="000162CD" w:rsidRPr="008706FC" w:rsidRDefault="008706FC">
      <w:pPr>
        <w:pStyle w:val="Normalparagraph"/>
        <w:spacing w:before="57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Завершение работ - 4 квартал 2025 г.</w:t>
      </w:r>
    </w:p>
    <w:p w:rsidR="000162CD" w:rsidRPr="008706FC" w:rsidRDefault="008706FC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  <w:lang w:val="ru-RU"/>
        </w:rPr>
      </w:pPr>
      <w:r w:rsidRPr="008706FC">
        <w:rPr>
          <w:rFonts w:ascii="Times New Roman" w:hAnsi="Times New Roman" w:cs="Times New Roman"/>
          <w:b/>
          <w:bCs/>
          <w:szCs w:val="24"/>
          <w:lang w:val="ru-RU"/>
        </w:rPr>
        <w:t>Таблица 1.</w:t>
      </w:r>
    </w:p>
    <w:p w:rsidR="000162CD" w:rsidRPr="008706FC" w:rsidRDefault="008706FC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466"/>
        <w:gridCol w:w="992"/>
        <w:gridCol w:w="992"/>
        <w:gridCol w:w="1355"/>
        <w:gridCol w:w="1376"/>
        <w:gridCol w:w="1191"/>
      </w:tblGrid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0" w:type="pct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vMerge w:val="restart"/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0" w:type="pct"/>
            <w:vMerge w:val="restart"/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67 036</w:t>
            </w:r>
          </w:p>
        </w:tc>
        <w:tc>
          <w:tcPr>
            <w:tcW w:w="1191" w:type="dxa"/>
            <w:vMerge w:val="restart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67 036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67 036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67 036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Затраты, относящиеся на операционную деятельность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67 036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67 036</w:t>
            </w:r>
          </w:p>
        </w:tc>
      </w:tr>
    </w:tbl>
    <w:p w:rsidR="000162CD" w:rsidRPr="008706FC" w:rsidRDefault="000162CD">
      <w:pPr>
        <w:rPr>
          <w:rFonts w:ascii="Times New Roman" w:hAnsi="Times New Roman" w:cs="Times New Roman"/>
          <w:szCs w:val="24"/>
        </w:rPr>
      </w:pPr>
    </w:p>
    <w:p w:rsidR="000162CD" w:rsidRPr="008706FC" w:rsidRDefault="008706FC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8706FC">
        <w:rPr>
          <w:rFonts w:ascii="Times New Roman" w:hAnsi="Times New Roman" w:cs="Times New Roman"/>
          <w:b/>
          <w:bCs/>
          <w:szCs w:val="24"/>
        </w:rPr>
        <w:t>Таблица</w:t>
      </w:r>
      <w:proofErr w:type="spellEnd"/>
      <w:r w:rsidRPr="008706FC">
        <w:rPr>
          <w:rFonts w:ascii="Times New Roman" w:hAnsi="Times New Roman" w:cs="Times New Roman"/>
          <w:b/>
          <w:bCs/>
          <w:szCs w:val="24"/>
        </w:rPr>
        <w:t xml:space="preserve"> 2.</w:t>
      </w:r>
    </w:p>
    <w:p w:rsidR="000162CD" w:rsidRPr="008706FC" w:rsidRDefault="008706FC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466"/>
        <w:gridCol w:w="992"/>
        <w:gridCol w:w="992"/>
        <w:gridCol w:w="1355"/>
        <w:gridCol w:w="1376"/>
        <w:gridCol w:w="1191"/>
      </w:tblGrid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50" w:type="pct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1" w:type="dxa"/>
            <w:shd w:val="clear" w:color="8C8C8C" w:fill="8C8C8C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vMerge w:val="restart"/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50" w:type="pct"/>
            <w:vMerge w:val="restart"/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80 443</w:t>
            </w:r>
          </w:p>
        </w:tc>
        <w:tc>
          <w:tcPr>
            <w:tcW w:w="1191" w:type="dxa"/>
            <w:vMerge w:val="restart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80 443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80 443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80 443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0162CD" w:rsidRPr="008706FC" w:rsidRDefault="008706FC">
            <w:pPr>
              <w:pStyle w:val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Затраты, относящиеся на операционную деятельность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0162CD" w:rsidRPr="008706FC" w:rsidRDefault="000162CD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0162CD" w:rsidRPr="008706FC" w:rsidRDefault="008706FC">
            <w:pPr>
              <w:pStyle w:val="1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80 443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0162CD" w:rsidRPr="008706FC" w:rsidRDefault="008706FC">
            <w:pPr>
              <w:pStyle w:val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bCs/>
                <w:sz w:val="24"/>
                <w:szCs w:val="24"/>
              </w:rPr>
              <w:t>80 443</w:t>
            </w:r>
          </w:p>
        </w:tc>
      </w:tr>
    </w:tbl>
    <w:p w:rsidR="000162CD" w:rsidRPr="008706FC" w:rsidRDefault="000162CD">
      <w:pPr>
        <w:rPr>
          <w:rFonts w:ascii="Times New Roman" w:hAnsi="Times New Roman" w:cs="Times New Roman"/>
          <w:szCs w:val="24"/>
        </w:rPr>
      </w:pPr>
    </w:p>
    <w:p w:rsidR="000162CD" w:rsidRPr="008706FC" w:rsidRDefault="008706FC">
      <w:pPr>
        <w:pStyle w:val="Normalparagraph"/>
        <w:spacing w:before="283" w:after="57"/>
        <w:ind w:firstLine="0"/>
        <w:jc w:val="right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8706FC">
        <w:rPr>
          <w:rFonts w:ascii="Times New Roman" w:hAnsi="Times New Roman" w:cs="Times New Roman"/>
          <w:b/>
          <w:bCs/>
          <w:szCs w:val="24"/>
        </w:rPr>
        <w:t>Таблица</w:t>
      </w:r>
      <w:proofErr w:type="spellEnd"/>
      <w:r w:rsidRPr="008706FC">
        <w:rPr>
          <w:rFonts w:ascii="Times New Roman" w:hAnsi="Times New Roman" w:cs="Times New Roman"/>
          <w:b/>
          <w:bCs/>
          <w:szCs w:val="24"/>
        </w:rPr>
        <w:t xml:space="preserve"> 3.</w:t>
      </w:r>
    </w:p>
    <w:p w:rsidR="000162CD" w:rsidRPr="008706FC" w:rsidRDefault="008706FC">
      <w:pPr>
        <w:pStyle w:val="Normalparagraph"/>
        <w:spacing w:before="0" w:after="57"/>
        <w:ind w:firstLine="0"/>
        <w:jc w:val="right"/>
        <w:rPr>
          <w:rFonts w:ascii="Times New Roman" w:hAnsi="Times New Roman" w:cs="Times New Roman"/>
          <w:szCs w:val="24"/>
        </w:rPr>
      </w:pPr>
      <w:proofErr w:type="spellStart"/>
      <w:r w:rsidRPr="008706FC">
        <w:rPr>
          <w:rFonts w:ascii="Times New Roman" w:hAnsi="Times New Roman" w:cs="Times New Roman"/>
          <w:szCs w:val="24"/>
        </w:rPr>
        <w:t>Ключевые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контрольные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56"/>
        <w:gridCol w:w="2645"/>
        <w:gridCol w:w="2501"/>
      </w:tblGrid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КЛЮЧЕВЫЕ КОНТРОЛЬНЫЕ ТОЧКИ</w:t>
            </w:r>
          </w:p>
        </w:tc>
      </w:tr>
      <w:tr w:rsidR="000162CD" w:rsidRPr="00870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</w:p>
        </w:tc>
        <w:tc>
          <w:tcPr>
            <w:tcW w:w="0" w:type="auto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0" w:type="auto"/>
          </w:tcPr>
          <w:p w:rsidR="000162CD" w:rsidRPr="008706FC" w:rsidRDefault="008706FC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spellEnd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6F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</w:tr>
    </w:tbl>
    <w:p w:rsidR="000162CD" w:rsidRPr="008706FC" w:rsidRDefault="000162CD">
      <w:pPr>
        <w:rPr>
          <w:rFonts w:ascii="Times New Roman" w:hAnsi="Times New Roman" w:cs="Times New Roman"/>
          <w:szCs w:val="24"/>
        </w:rPr>
      </w:pPr>
    </w:p>
    <w:p w:rsidR="000162CD" w:rsidRPr="008706FC" w:rsidRDefault="008706FC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6FC">
        <w:rPr>
          <w:rFonts w:ascii="Times New Roman" w:hAnsi="Times New Roman" w:cs="Times New Roman"/>
          <w:sz w:val="24"/>
          <w:szCs w:val="24"/>
        </w:rPr>
        <w:t>КОНТАКТНОЕ ЛИЦО</w:t>
      </w:r>
    </w:p>
    <w:p w:rsidR="000162CD" w:rsidRPr="008706FC" w:rsidRDefault="008706FC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8706FC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8706FC">
        <w:rPr>
          <w:rFonts w:ascii="Times New Roman" w:hAnsi="Times New Roman" w:cs="Times New Roman"/>
          <w:szCs w:val="24"/>
        </w:rPr>
        <w:t>Куратор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ИПКВ:   </w:t>
      </w:r>
    </w:p>
    <w:p w:rsidR="000162CD" w:rsidRPr="008706FC" w:rsidRDefault="008706FC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8706FC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8706FC">
        <w:rPr>
          <w:rFonts w:ascii="Times New Roman" w:hAnsi="Times New Roman" w:cs="Times New Roman"/>
          <w:szCs w:val="24"/>
        </w:rPr>
        <w:t>Единое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ответственное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706FC">
        <w:rPr>
          <w:rFonts w:ascii="Times New Roman" w:hAnsi="Times New Roman" w:cs="Times New Roman"/>
          <w:szCs w:val="24"/>
        </w:rPr>
        <w:t>лицо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ИПКВ:   </w:t>
      </w:r>
    </w:p>
    <w:p w:rsidR="000162CD" w:rsidRPr="008706FC" w:rsidRDefault="008706FC">
      <w:pPr>
        <w:pStyle w:val="Normalparagraph"/>
        <w:spacing w:before="283" w:after="113"/>
        <w:rPr>
          <w:rFonts w:ascii="Times New Roman" w:hAnsi="Times New Roman" w:cs="Times New Roman"/>
          <w:szCs w:val="24"/>
        </w:rPr>
      </w:pPr>
      <w:r w:rsidRPr="008706FC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8706FC">
        <w:rPr>
          <w:rFonts w:ascii="Times New Roman" w:hAnsi="Times New Roman" w:cs="Times New Roman"/>
          <w:szCs w:val="24"/>
        </w:rPr>
        <w:t>Заказчик</w:t>
      </w:r>
      <w:proofErr w:type="spellEnd"/>
      <w:r w:rsidRPr="008706FC">
        <w:rPr>
          <w:rFonts w:ascii="Times New Roman" w:hAnsi="Times New Roman" w:cs="Times New Roman"/>
          <w:szCs w:val="24"/>
        </w:rPr>
        <w:t xml:space="preserve"> ИПКВ:   </w:t>
      </w:r>
    </w:p>
    <w:p w:rsidR="000162CD" w:rsidRPr="008706FC" w:rsidRDefault="008706FC">
      <w:pPr>
        <w:pStyle w:val="Normalparagraph"/>
        <w:spacing w:before="283" w:after="113"/>
        <w:rPr>
          <w:rFonts w:ascii="Times New Roman" w:hAnsi="Times New Roman" w:cs="Times New Roman"/>
          <w:szCs w:val="24"/>
          <w:lang w:val="ru-RU"/>
        </w:rPr>
      </w:pPr>
      <w:r w:rsidRPr="008706FC">
        <w:rPr>
          <w:rFonts w:ascii="Times New Roman" w:hAnsi="Times New Roman" w:cs="Times New Roman"/>
          <w:szCs w:val="24"/>
          <w:lang w:val="ru-RU"/>
        </w:rPr>
        <w:t xml:space="preserve"> - Инициатор ИПКВ: Ведущий экономист Петербургская сбытовая компания Колосова Олеся Сергеевна</w:t>
      </w:r>
    </w:p>
    <w:sectPr w:rsidR="000162CD" w:rsidRPr="008706FC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2CD" w:rsidRDefault="008706FC">
      <w:r>
        <w:separator/>
      </w:r>
    </w:p>
  </w:endnote>
  <w:endnote w:type="continuationSeparator" w:id="0">
    <w:p w:rsidR="000162CD" w:rsidRDefault="0087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2CD" w:rsidRDefault="008706FC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2CD" w:rsidRDefault="008706FC">
      <w:r>
        <w:separator/>
      </w:r>
    </w:p>
  </w:footnote>
  <w:footnote w:type="continuationSeparator" w:id="0">
    <w:p w:rsidR="000162CD" w:rsidRDefault="00870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A3FEF"/>
    <w:multiLevelType w:val="multilevel"/>
    <w:tmpl w:val="0DEEB1C0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2CD"/>
    <w:rsid w:val="000162CD"/>
    <w:rsid w:val="0087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DAA81-53E3-4CD5-A543-4D170C6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4126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2024-11-21T15:03:00Z</dcterms:created>
  <dcterms:modified xsi:type="dcterms:W3CDTF">2024-11-21T15:04:00Z</dcterms:modified>
</cp:coreProperties>
</file>